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C0273" w:rsidRPr="000D516F" w14:paraId="22307197" w14:textId="77777777" w:rsidTr="000D516F">
        <w:trPr>
          <w:trHeight w:val="568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4C603725" w14:textId="2AA25CD3" w:rsidR="007C0273" w:rsidRPr="000D516F" w:rsidRDefault="007C0273" w:rsidP="007C027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Fiche de Gestion – </w:t>
            </w:r>
            <w:bookmarkEnd w:id="0"/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Lot n°</w:t>
            </w:r>
            <w:r w:rsidR="00FA5292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1</w:t>
            </w: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Dommages aux Biens </w:t>
            </w:r>
            <w:r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page 1 sur 2</w:t>
            </w:r>
          </w:p>
        </w:tc>
      </w:tr>
      <w:bookmarkEnd w:id="1"/>
    </w:tbl>
    <w:p w14:paraId="6BF58FC9" w14:textId="77777777" w:rsidR="007C0273" w:rsidRDefault="007C0273" w:rsidP="00415AE7">
      <w:pPr>
        <w:spacing w:after="144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B34BB3A" w14:textId="3B3E9C0E" w:rsidR="00415AE7" w:rsidRPr="007C0273" w:rsidRDefault="00415AE7" w:rsidP="00415AE7">
      <w:pPr>
        <w:spacing w:after="144" w:line="288" w:lineRule="auto"/>
        <w:jc w:val="both"/>
        <w:rPr>
          <w:rFonts w:ascii="Century Gothic" w:hAnsi="Century Gothic" w:cs="Arial"/>
          <w:sz w:val="18"/>
          <w:szCs w:val="18"/>
        </w:rPr>
      </w:pPr>
      <w:r w:rsidRPr="007C0273">
        <w:rPr>
          <w:rFonts w:ascii="Century Gothic" w:hAnsi="Century Gothic" w:cs="Arial"/>
          <w:sz w:val="18"/>
          <w:szCs w:val="18"/>
        </w:rPr>
        <w:t>Les engagements en matière de gestion sont pris par le candidat ou son mandataire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40"/>
        <w:gridCol w:w="4818"/>
        <w:gridCol w:w="1545"/>
        <w:gridCol w:w="1115"/>
        <w:gridCol w:w="1138"/>
      </w:tblGrid>
      <w:tr w:rsidR="00415AE7" w:rsidRPr="007C0273" w14:paraId="0C0E7ACD" w14:textId="77777777" w:rsidTr="00450A26">
        <w:trPr>
          <w:trHeight w:val="471"/>
          <w:jc w:val="center"/>
        </w:trPr>
        <w:tc>
          <w:tcPr>
            <w:tcW w:w="3184" w:type="pct"/>
            <w:gridSpan w:val="2"/>
            <w:vMerge w:val="restart"/>
            <w:shd w:val="clear" w:color="auto" w:fill="155C6F" w:themeFill="text2" w:themeFillShade="BF"/>
            <w:vAlign w:val="center"/>
          </w:tcPr>
          <w:p w14:paraId="50FF514C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  <w:t>ENGAGEMENTS EN MATIERE DE GESTION</w:t>
            </w:r>
          </w:p>
        </w:tc>
        <w:tc>
          <w:tcPr>
            <w:tcW w:w="739" w:type="pct"/>
            <w:vMerge w:val="restart"/>
            <w:shd w:val="clear" w:color="auto" w:fill="155C6F" w:themeFill="text2" w:themeFillShade="BF"/>
            <w:vAlign w:val="center"/>
          </w:tcPr>
          <w:p w14:paraId="6DDEB769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Réponse</w:t>
            </w:r>
          </w:p>
        </w:tc>
        <w:tc>
          <w:tcPr>
            <w:tcW w:w="1077" w:type="pct"/>
            <w:gridSpan w:val="2"/>
            <w:shd w:val="clear" w:color="auto" w:fill="155C6F" w:themeFill="text2" w:themeFillShade="BF"/>
            <w:vAlign w:val="center"/>
          </w:tcPr>
          <w:p w14:paraId="6DE1D753" w14:textId="05C37B56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Qui assume l’engagement ?</w:t>
            </w:r>
          </w:p>
        </w:tc>
      </w:tr>
      <w:tr w:rsidR="00415AE7" w:rsidRPr="007C0273" w14:paraId="14FDB8AB" w14:textId="77777777" w:rsidTr="00450A26">
        <w:trPr>
          <w:trHeight w:val="340"/>
          <w:jc w:val="center"/>
        </w:trPr>
        <w:tc>
          <w:tcPr>
            <w:tcW w:w="3184" w:type="pct"/>
            <w:gridSpan w:val="2"/>
            <w:vMerge/>
            <w:shd w:val="clear" w:color="auto" w:fill="155C6F" w:themeFill="text2" w:themeFillShade="BF"/>
          </w:tcPr>
          <w:p w14:paraId="2289B077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</w:p>
        </w:tc>
        <w:tc>
          <w:tcPr>
            <w:tcW w:w="739" w:type="pct"/>
            <w:vMerge/>
            <w:shd w:val="clear" w:color="auto" w:fill="155C6F" w:themeFill="text2" w:themeFillShade="BF"/>
          </w:tcPr>
          <w:p w14:paraId="17437C3B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</w:p>
        </w:tc>
        <w:tc>
          <w:tcPr>
            <w:tcW w:w="533" w:type="pct"/>
            <w:shd w:val="clear" w:color="auto" w:fill="155C6F" w:themeFill="text2" w:themeFillShade="BF"/>
            <w:vAlign w:val="center"/>
          </w:tcPr>
          <w:p w14:paraId="1301A35A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Candidat</w:t>
            </w:r>
          </w:p>
        </w:tc>
        <w:tc>
          <w:tcPr>
            <w:tcW w:w="544" w:type="pct"/>
            <w:shd w:val="clear" w:color="auto" w:fill="155C6F" w:themeFill="text2" w:themeFillShade="BF"/>
            <w:vAlign w:val="center"/>
          </w:tcPr>
          <w:p w14:paraId="40E464D9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Mandataire</w:t>
            </w:r>
          </w:p>
        </w:tc>
      </w:tr>
      <w:tr w:rsidR="00415AE7" w:rsidRPr="007C0273" w14:paraId="3E43E92D" w14:textId="77777777" w:rsidTr="00344591">
        <w:trPr>
          <w:trHeight w:val="511"/>
          <w:jc w:val="center"/>
        </w:trPr>
        <w:tc>
          <w:tcPr>
            <w:tcW w:w="5000" w:type="pct"/>
            <w:gridSpan w:val="5"/>
            <w:shd w:val="clear" w:color="auto" w:fill="A6C5C7"/>
            <w:vAlign w:val="center"/>
          </w:tcPr>
          <w:p w14:paraId="64A237CF" w14:textId="77777777" w:rsidR="00415AE7" w:rsidRPr="007C0273" w:rsidRDefault="00415AE7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  <w:t>FOURNITURE DE DONNEES STATISTIQUES</w:t>
            </w:r>
          </w:p>
        </w:tc>
      </w:tr>
      <w:tr w:rsidR="00415AE7" w:rsidRPr="007C0273" w14:paraId="33C8F35D" w14:textId="77777777" w:rsidTr="00450A26">
        <w:trPr>
          <w:trHeight w:val="953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4E55292E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bookmarkStart w:id="2" w:name="_Hlk515119304"/>
            <w:r w:rsidRPr="007C0273">
              <w:rPr>
                <w:rFonts w:ascii="Century Gothic" w:hAnsi="Century Gothic" w:cs="Arial"/>
                <w:sz w:val="16"/>
                <w:szCs w:val="18"/>
              </w:rPr>
              <w:t>Le souscripteur souhaite se constituer sa propre base de données « sinistres ». Pour ce faire, il souhaite obtenir de l’assureur des états sinistres sous format « Excel ». Indiquer si vous êtes en mesure de fournir ce type d’état :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419AEA4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62296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81360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584D96C1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339D4766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bookmarkEnd w:id="2"/>
      <w:tr w:rsidR="00415AE7" w:rsidRPr="007C0273" w14:paraId="58E3722D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3F2D126C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Le souscripteur souhaite obtenir 2 éditions statistiques annuelles (janvier et juillet)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F2898B2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207303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44716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1376A7E1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4A131397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74799E35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28A01EE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L’état de sinistralité comporte-t-il la nature précise du sinistre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1CDAB94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34398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4843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A3C20AF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1FBEC43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09058A4B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78B7549B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Edition de la sinistralité par extranet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C35BA2B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68072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045138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2433C0D7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7079BAF0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228816F3" w14:textId="77777777" w:rsidTr="00344591">
        <w:trPr>
          <w:trHeight w:val="416"/>
          <w:jc w:val="center"/>
        </w:trPr>
        <w:tc>
          <w:tcPr>
            <w:tcW w:w="5000" w:type="pct"/>
            <w:gridSpan w:val="5"/>
            <w:shd w:val="clear" w:color="auto" w:fill="A6C5C7"/>
            <w:vAlign w:val="center"/>
          </w:tcPr>
          <w:p w14:paraId="34971186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GESTION DU CONTRAT</w:t>
            </w:r>
          </w:p>
        </w:tc>
      </w:tr>
      <w:tr w:rsidR="00415AE7" w:rsidRPr="007C0273" w14:paraId="029B29FF" w14:textId="77777777" w:rsidTr="00450A26">
        <w:trPr>
          <w:trHeight w:val="454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59E536E0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Fourniture d’attestations sous 72 h ouvrées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9771DF8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93177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8953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79C590D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2B51F7C6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1A8F2043" w14:textId="77777777" w:rsidTr="00450A26">
        <w:trPr>
          <w:trHeight w:val="559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15A6BE8E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Réponse aux questions sur les baux / conventions sous 72h ouvrées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8E919CB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5759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97390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18F40CF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4FB62AA7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79DCF20D" w14:textId="77777777" w:rsidTr="00450A26">
        <w:trPr>
          <w:trHeight w:val="531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7FD56AC6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Transmission des avenants en moins de 20 jours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96E363A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39088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87874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54231221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607B6BA1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3D552266" w14:textId="77777777" w:rsidTr="00450A26">
        <w:trPr>
          <w:trHeight w:val="454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2C3ED28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Un déplacement annuel est-il intégré dans la prestation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11EB3C0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37924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86313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11E27D28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38E8280C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7E9498C4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06157089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bookmarkStart w:id="3" w:name="_Hlk515119317"/>
            <w:r w:rsidRPr="007C0273">
              <w:rPr>
                <w:rFonts w:ascii="Century Gothic" w:hAnsi="Century Gothic" w:cs="Arial"/>
                <w:sz w:val="16"/>
                <w:szCs w:val="18"/>
              </w:rPr>
              <w:t>Ajout / retrait de bâtiment par extranet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7F8AE433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77624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95863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0E616DB8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4ABAE29E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55FCCE40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25B5A17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Edition de la liste des bâtiments assurés par extranet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3FF7133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92706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213593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39A682C0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43F2D5B1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bookmarkEnd w:id="3"/>
      <w:tr w:rsidR="00415AE7" w:rsidRPr="007C0273" w14:paraId="23DE2902" w14:textId="77777777" w:rsidTr="00344591">
        <w:trPr>
          <w:trHeight w:val="392"/>
          <w:jc w:val="center"/>
        </w:trPr>
        <w:tc>
          <w:tcPr>
            <w:tcW w:w="5000" w:type="pct"/>
            <w:gridSpan w:val="5"/>
            <w:shd w:val="clear" w:color="auto" w:fill="A6C5C7"/>
            <w:vAlign w:val="center"/>
          </w:tcPr>
          <w:p w14:paraId="5E815D1E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GESTION DES SINISTRES</w:t>
            </w:r>
          </w:p>
        </w:tc>
      </w:tr>
      <w:tr w:rsidR="00415AE7" w:rsidRPr="007C0273" w14:paraId="0CFD56E8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1CD7F4CA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bookmarkStart w:id="4" w:name="_Hlk515119326"/>
            <w:r w:rsidRPr="007C0273">
              <w:rPr>
                <w:rFonts w:ascii="Century Gothic" w:hAnsi="Century Gothic" w:cs="Arial"/>
                <w:sz w:val="16"/>
                <w:szCs w:val="18"/>
              </w:rPr>
              <w:t>Déclaration de sinistres dématérialisée par extranet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3D6B2AA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6304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2096005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7E90EFF5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19527FCB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58BB8BB6" w14:textId="77777777" w:rsidTr="00450A26">
        <w:trPr>
          <w:trHeight w:val="556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6DFBB2AF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Consultation du dossier sinistre par extranet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6C02CA73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28000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655420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421D86C1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01C76007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bookmarkEnd w:id="4"/>
      <w:tr w:rsidR="00415AE7" w:rsidRPr="007C0273" w14:paraId="253C203D" w14:textId="77777777" w:rsidTr="00450A26">
        <w:trPr>
          <w:trHeight w:val="587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2DEBB48A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Réponses aux questions concernant l’avancement des sinistres en cours sous 72h ouvrées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679E06F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905882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213651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4CA3D50B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4430F537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28810728" w14:textId="77777777" w:rsidTr="00450A26">
        <w:trPr>
          <w:trHeight w:val="579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0EAD9529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 xml:space="preserve">Désignation d’un expert sous 72h ouvrées </w:t>
            </w:r>
            <w:r w:rsidRPr="007C0273">
              <w:rPr>
                <w:rFonts w:ascii="Century Gothic" w:hAnsi="Century Gothic" w:cs="Arial"/>
                <w:b/>
                <w:sz w:val="16"/>
                <w:szCs w:val="18"/>
                <w:u w:val="single"/>
              </w:rPr>
              <w:t>maximum</w:t>
            </w:r>
            <w:r w:rsidRPr="007C0273">
              <w:rPr>
                <w:rFonts w:ascii="Century Gothic" w:hAnsi="Century Gothic" w:cs="Arial"/>
                <w:sz w:val="16"/>
                <w:szCs w:val="18"/>
              </w:rPr>
              <w:t xml:space="preserve"> à compter de la réception de la déclaration de sinistre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44006EF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85657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10268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1756CBC7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77D459AC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38051219" w14:textId="77777777" w:rsidTr="00450A26">
        <w:trPr>
          <w:trHeight w:val="454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78FC641E" w14:textId="1433BBCD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Les rapports rédigés par l’expert désigné par l’assureur sont-ils remis au souscripteur</w:t>
            </w:r>
            <w:r w:rsidR="000D516F">
              <w:rPr>
                <w:rFonts w:ascii="Century Gothic" w:hAnsi="Century Gothic" w:cs="Arial"/>
                <w:sz w:val="16"/>
                <w:szCs w:val="18"/>
              </w:rPr>
              <w:t>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599C3E5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215227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97390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76FCD85E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5D05867B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050406D7" w14:textId="77777777" w:rsidTr="00450A26">
        <w:trPr>
          <w:trHeight w:val="113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59414C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 xml:space="preserve">Seuils de désignation d’un expert : </w:t>
            </w:r>
          </w:p>
        </w:tc>
        <w:tc>
          <w:tcPr>
            <w:tcW w:w="4120" w:type="pct"/>
            <w:gridSpan w:val="4"/>
            <w:shd w:val="clear" w:color="auto" w:fill="auto"/>
            <w:vAlign w:val="bottom"/>
          </w:tcPr>
          <w:p w14:paraId="0CED41DA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4D4B344C" w14:textId="77777777" w:rsidTr="00450A26">
        <w:trPr>
          <w:trHeight w:val="731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068713E4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Les recours contre tiers identifiés pour des sinistres intérieurs aux franchises contractuelles sont-ils effectués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712C4A2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91871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79652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760E342B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19F4541A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662C965F" w14:textId="77777777" w:rsidTr="00450A26">
        <w:trPr>
          <w:trHeight w:val="725"/>
          <w:jc w:val="center"/>
        </w:trPr>
        <w:tc>
          <w:tcPr>
            <w:tcW w:w="3184" w:type="pct"/>
            <w:gridSpan w:val="2"/>
            <w:shd w:val="clear" w:color="auto" w:fill="auto"/>
            <w:vAlign w:val="center"/>
          </w:tcPr>
          <w:p w14:paraId="5922330E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Les recours contre tiers identifiés pour des sinistres non garantis sont-ils effectués ?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00D8C10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58075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03958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72C2EB78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14:paraId="3AD05A7F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0A678AAB" w14:textId="7B8D1419" w:rsidR="00415AE7" w:rsidRDefault="00415AE7" w:rsidP="00415AE7">
      <w:pPr>
        <w:spacing w:after="144" w:line="288" w:lineRule="auto"/>
        <w:rPr>
          <w:rFonts w:ascii="Century Gothic" w:hAnsi="Century Gothic" w:cs="Arial"/>
          <w:sz w:val="1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0D516F" w:rsidRPr="000D516F" w14:paraId="626ADDD9" w14:textId="77777777" w:rsidTr="00D66C69">
        <w:trPr>
          <w:trHeight w:val="568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0F7A5065" w14:textId="005DECDD" w:rsidR="000D516F" w:rsidRPr="000D516F" w:rsidRDefault="000D516F" w:rsidP="00D66C69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lastRenderedPageBreak/>
              <w:t>Fiche de Gestion – Lot n°</w:t>
            </w:r>
            <w:r w:rsidR="00FA5292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1</w:t>
            </w:r>
            <w:r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Dommages aux Biens </w:t>
            </w:r>
            <w:r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page 2 sur 2</w:t>
            </w:r>
          </w:p>
        </w:tc>
      </w:tr>
    </w:tbl>
    <w:p w14:paraId="34180720" w14:textId="77777777" w:rsidR="000D516F" w:rsidRDefault="000D516F" w:rsidP="00415AE7">
      <w:pPr>
        <w:spacing w:after="144" w:line="288" w:lineRule="auto"/>
        <w:rPr>
          <w:rFonts w:ascii="Century Gothic" w:hAnsi="Century Gothic" w:cs="Arial"/>
          <w:sz w:val="18"/>
        </w:rPr>
      </w:pPr>
    </w:p>
    <w:p w14:paraId="41A225AC" w14:textId="77777777" w:rsidR="00557F3C" w:rsidRPr="007C0273" w:rsidRDefault="00557F3C" w:rsidP="00415AE7">
      <w:pPr>
        <w:spacing w:after="144" w:line="288" w:lineRule="auto"/>
        <w:rPr>
          <w:rFonts w:ascii="Century Gothic" w:hAnsi="Century Gothic" w:cs="Arial"/>
          <w:sz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695"/>
        <w:gridCol w:w="1677"/>
        <w:gridCol w:w="1119"/>
        <w:gridCol w:w="1121"/>
      </w:tblGrid>
      <w:tr w:rsidR="00415AE7" w:rsidRPr="007C0273" w14:paraId="3A9D9F9C" w14:textId="77777777" w:rsidTr="00344591">
        <w:trPr>
          <w:trHeight w:val="272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6C5C7"/>
            <w:vAlign w:val="center"/>
          </w:tcPr>
          <w:p w14:paraId="413F75F9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MOYENS MIS A DISPOSITION</w:t>
            </w:r>
          </w:p>
        </w:tc>
      </w:tr>
      <w:tr w:rsidR="00415AE7" w:rsidRPr="007C0273" w14:paraId="067694F7" w14:textId="77777777" w:rsidTr="00450A26">
        <w:trPr>
          <w:trHeight w:val="648"/>
          <w:jc w:val="center"/>
        </w:trPr>
        <w:tc>
          <w:tcPr>
            <w:tcW w:w="3127" w:type="pct"/>
            <w:gridSpan w:val="2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C00E875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du contrat ?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9E2A09A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642153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62366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638147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757E2F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36BD740D" w14:textId="77777777" w:rsidTr="00450A26">
        <w:trPr>
          <w:trHeight w:val="570"/>
          <w:jc w:val="center"/>
        </w:trPr>
        <w:tc>
          <w:tcPr>
            <w:tcW w:w="3127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E3D6A9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des sinistres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2E4EA2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40904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11813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C8B96C3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2237E9F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06797E23" w14:textId="77777777" w:rsidTr="00344591">
        <w:trPr>
          <w:trHeight w:val="338"/>
          <w:jc w:val="center"/>
        </w:trPr>
        <w:tc>
          <w:tcPr>
            <w:tcW w:w="5000" w:type="pct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6C5C7"/>
            <w:vAlign w:val="center"/>
          </w:tcPr>
          <w:p w14:paraId="1D19EBD8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color w:val="FFFFFF"/>
                <w:sz w:val="16"/>
                <w:szCs w:val="18"/>
              </w:rPr>
              <w:t>PREVENTION ET FORMATION</w:t>
            </w:r>
          </w:p>
        </w:tc>
      </w:tr>
      <w:tr w:rsidR="00415AE7" w:rsidRPr="007C0273" w14:paraId="75CBA677" w14:textId="77777777" w:rsidTr="00450A26">
        <w:trPr>
          <w:trHeight w:val="682"/>
          <w:jc w:val="center"/>
        </w:trPr>
        <w:tc>
          <w:tcPr>
            <w:tcW w:w="3127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DE8AED2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Des formations à la gestion des sinistres et / ou à l’analyse des garanties sont-elles proposées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287B1A3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581680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-181046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AB6A418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BC1D316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1D4DD282" w14:textId="77777777" w:rsidTr="00450A26">
        <w:trPr>
          <w:trHeight w:val="521"/>
          <w:jc w:val="center"/>
        </w:trPr>
        <w:tc>
          <w:tcPr>
            <w:tcW w:w="3127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0BE1B45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Ces formations sont-elles payantes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828D93E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84774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40928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222FBB0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1E5272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35753634" w14:textId="77777777" w:rsidTr="00450A26">
        <w:trPr>
          <w:trHeight w:val="1245"/>
          <w:jc w:val="center"/>
        </w:trPr>
        <w:tc>
          <w:tcPr>
            <w:tcW w:w="88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D9178B4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 xml:space="preserve">Détailler : </w:t>
            </w:r>
          </w:p>
        </w:tc>
        <w:tc>
          <w:tcPr>
            <w:tcW w:w="4118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bottom"/>
          </w:tcPr>
          <w:p w14:paraId="60D06310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37650A10" w14:textId="77777777" w:rsidTr="00450A26">
        <w:trPr>
          <w:trHeight w:val="804"/>
          <w:jc w:val="center"/>
        </w:trPr>
        <w:tc>
          <w:tcPr>
            <w:tcW w:w="3127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CAD371D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Des actions en matière de prévention incendie et / ou intrusion sont-elles proposées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C2845A7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807142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207292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004E3B8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6A0F1B2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409AD138" w14:textId="77777777" w:rsidTr="00450A26">
        <w:trPr>
          <w:trHeight w:val="555"/>
          <w:jc w:val="center"/>
        </w:trPr>
        <w:tc>
          <w:tcPr>
            <w:tcW w:w="3127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3FDDD5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7C0273">
              <w:rPr>
                <w:rFonts w:ascii="Century Gothic" w:hAnsi="Century Gothic" w:cs="Arial"/>
                <w:sz w:val="16"/>
                <w:szCs w:val="18"/>
              </w:rPr>
              <w:t>Ces actions sont-elles payantes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F2DFBF0" w14:textId="77777777" w:rsidR="00415AE7" w:rsidRPr="007C0273" w:rsidRDefault="007758AE" w:rsidP="000D516F">
            <w:pPr>
              <w:spacing w:after="0" w:line="288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75239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OUI</w:t>
            </w:r>
            <w:r w:rsidR="00415AE7" w:rsidRPr="007C0273">
              <w:rPr>
                <w:rFonts w:ascii="Century Gothic" w:hAnsi="Century Gothic" w:cs="Arial"/>
                <w:bCs/>
                <w:sz w:val="16"/>
                <w:szCs w:val="18"/>
              </w:rPr>
              <w:t xml:space="preserve">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28"/>
                </w:rPr>
                <w:id w:val="106584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AE7" w:rsidRPr="007C0273">
                  <w:rPr>
                    <w:rFonts w:ascii="Segoe UI Symbol" w:eastAsia="MS Gothic" w:hAnsi="Segoe UI Symbol" w:cs="Segoe UI Symbol"/>
                    <w:b/>
                    <w:sz w:val="20"/>
                    <w:szCs w:val="28"/>
                  </w:rPr>
                  <w:t>☐</w:t>
                </w:r>
              </w:sdtContent>
            </w:sdt>
            <w:r w:rsidR="00415AE7" w:rsidRPr="007C0273">
              <w:rPr>
                <w:rFonts w:ascii="Century Gothic" w:hAnsi="Century Gothic" w:cs="Arial"/>
                <w:b/>
                <w:sz w:val="16"/>
                <w:szCs w:val="18"/>
              </w:rPr>
              <w:t xml:space="preserve"> 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226EB92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A282186" w14:textId="77777777" w:rsidR="00415AE7" w:rsidRPr="007C0273" w:rsidRDefault="00415AE7" w:rsidP="000D516F">
            <w:pPr>
              <w:spacing w:after="0" w:line="288" w:lineRule="auto"/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15AE7" w:rsidRPr="007C0273" w14:paraId="7630C606" w14:textId="77777777" w:rsidTr="00450A26">
        <w:trPr>
          <w:trHeight w:val="2004"/>
          <w:jc w:val="center"/>
        </w:trPr>
        <w:tc>
          <w:tcPr>
            <w:tcW w:w="882" w:type="pct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E592C63" w14:textId="77777777" w:rsidR="00415AE7" w:rsidRPr="007C0273" w:rsidRDefault="00415AE7" w:rsidP="000D516F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7C0273">
              <w:rPr>
                <w:rFonts w:ascii="Century Gothic" w:hAnsi="Century Gothic" w:cs="Arial"/>
                <w:sz w:val="18"/>
                <w:szCs w:val="18"/>
              </w:rPr>
              <w:t xml:space="preserve">Détailler : </w:t>
            </w:r>
          </w:p>
        </w:tc>
        <w:tc>
          <w:tcPr>
            <w:tcW w:w="4118" w:type="pct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bottom"/>
          </w:tcPr>
          <w:p w14:paraId="0E0879AE" w14:textId="77777777" w:rsidR="00415AE7" w:rsidRPr="007C0273" w:rsidRDefault="00415AE7" w:rsidP="000D516F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829CEC3" w14:textId="77777777" w:rsidR="00415AE7" w:rsidRPr="007C0273" w:rsidRDefault="00415AE7" w:rsidP="00415AE7">
      <w:pPr>
        <w:overflowPunct w:val="0"/>
        <w:autoSpaceDE w:val="0"/>
        <w:autoSpaceDN w:val="0"/>
        <w:adjustRightInd w:val="0"/>
        <w:spacing w:after="144" w:line="288" w:lineRule="auto"/>
        <w:textAlignment w:val="baseline"/>
        <w:rPr>
          <w:rFonts w:ascii="Century Gothic" w:hAnsi="Century Gothic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557F3C">
        <w:trPr>
          <w:trHeight w:val="1591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AB6D19E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8"/>
                <w:szCs w:val="16"/>
                <w:lang w:eastAsia="fr-FR"/>
              </w:rPr>
            </w:pPr>
          </w:p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33078A98" w14:textId="77777777" w:rsidR="00415AE7" w:rsidRPr="007C0273" w:rsidRDefault="00415AE7" w:rsidP="00415AE7">
      <w:pPr>
        <w:spacing w:after="144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35CAAC8" w14:textId="77777777" w:rsidR="00415AE7" w:rsidRPr="007C0273" w:rsidRDefault="00415AE7" w:rsidP="00415AE7">
      <w:pPr>
        <w:spacing w:after="144"/>
        <w:jc w:val="both"/>
        <w:rPr>
          <w:rFonts w:ascii="Century Gothic" w:hAnsi="Century Gothic" w:cs="Arial"/>
          <w:sz w:val="18"/>
          <w:szCs w:val="18"/>
        </w:rPr>
      </w:pPr>
    </w:p>
    <w:p w14:paraId="55109206" w14:textId="77777777" w:rsidR="00877956" w:rsidRPr="007C0273" w:rsidRDefault="00877956">
      <w:pPr>
        <w:spacing w:after="144"/>
        <w:rPr>
          <w:rFonts w:ascii="Century Gothic" w:hAnsi="Century Gothic"/>
        </w:rPr>
      </w:pPr>
    </w:p>
    <w:sectPr w:rsidR="00877956" w:rsidRPr="007C0273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8F28A" w14:textId="77777777" w:rsidR="008A1732" w:rsidRDefault="008A1732" w:rsidP="00415AE7">
      <w:pPr>
        <w:spacing w:after="0" w:line="240" w:lineRule="auto"/>
      </w:pPr>
      <w:r>
        <w:separator/>
      </w:r>
    </w:p>
  </w:endnote>
  <w:endnote w:type="continuationSeparator" w:id="0">
    <w:p w14:paraId="5EE69290" w14:textId="77777777" w:rsidR="008A1732" w:rsidRDefault="008A1732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1B06C1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EC213" w14:textId="77777777" w:rsidR="008A1732" w:rsidRDefault="008A1732" w:rsidP="00415AE7">
      <w:pPr>
        <w:spacing w:after="0" w:line="240" w:lineRule="auto"/>
      </w:pPr>
      <w:r>
        <w:separator/>
      </w:r>
    </w:p>
  </w:footnote>
  <w:footnote w:type="continuationSeparator" w:id="0">
    <w:p w14:paraId="5F5A0363" w14:textId="77777777" w:rsidR="008A1732" w:rsidRDefault="008A1732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07A42F48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5" w:name="_Hlk42002724"/>
    <w:bookmarkStart w:id="6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Assurances pour les besoins</w:t>
    </w:r>
    <w:r w:rsidR="00FA5292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 du GHT</w:t>
    </w:r>
    <w:r w:rsidR="007758AE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72 </w:t>
    </w:r>
    <w:r w:rsidR="007758AE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758AE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7758AE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25AE2"/>
    <w:rsid w:val="000C1878"/>
    <w:rsid w:val="000D516F"/>
    <w:rsid w:val="000E4D37"/>
    <w:rsid w:val="00143487"/>
    <w:rsid w:val="001B06C1"/>
    <w:rsid w:val="001B18F8"/>
    <w:rsid w:val="00263849"/>
    <w:rsid w:val="002B38A1"/>
    <w:rsid w:val="002D0C32"/>
    <w:rsid w:val="003139F4"/>
    <w:rsid w:val="00344591"/>
    <w:rsid w:val="003A11C4"/>
    <w:rsid w:val="00415AE7"/>
    <w:rsid w:val="00450A26"/>
    <w:rsid w:val="004D3EC1"/>
    <w:rsid w:val="00502D75"/>
    <w:rsid w:val="00557F3C"/>
    <w:rsid w:val="005844FD"/>
    <w:rsid w:val="00607A78"/>
    <w:rsid w:val="006D1A11"/>
    <w:rsid w:val="007758AE"/>
    <w:rsid w:val="007C0273"/>
    <w:rsid w:val="008736BC"/>
    <w:rsid w:val="00877956"/>
    <w:rsid w:val="008A1732"/>
    <w:rsid w:val="009A7EF7"/>
    <w:rsid w:val="009C166A"/>
    <w:rsid w:val="00A0517F"/>
    <w:rsid w:val="00A133D0"/>
    <w:rsid w:val="00AA1E65"/>
    <w:rsid w:val="00AF65CC"/>
    <w:rsid w:val="00B80F66"/>
    <w:rsid w:val="00BB1DFD"/>
    <w:rsid w:val="00BF22D0"/>
    <w:rsid w:val="00BF6534"/>
    <w:rsid w:val="00C91BE0"/>
    <w:rsid w:val="00D467AE"/>
    <w:rsid w:val="00EB0769"/>
    <w:rsid w:val="00EC4C00"/>
    <w:rsid w:val="00FA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3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051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051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0517F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51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517F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25</cp:revision>
  <dcterms:created xsi:type="dcterms:W3CDTF">2019-06-04T14:17:00Z</dcterms:created>
  <dcterms:modified xsi:type="dcterms:W3CDTF">2025-03-28T09:10:00Z</dcterms:modified>
</cp:coreProperties>
</file>